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26E7F" w14:textId="5BFC1164" w:rsidR="000052C3" w:rsidRPr="000052C3" w:rsidRDefault="000052C3" w:rsidP="000052C3">
      <w:pPr>
        <w:spacing w:after="200" w:line="360" w:lineRule="auto"/>
        <w:jc w:val="center"/>
        <w:rPr>
          <w:rFonts w:ascii="Century Gothic" w:eastAsia="Calibri" w:hAnsi="Century Gothic" w:cs="Times New Roman"/>
          <w:color w:val="000000"/>
          <w:sz w:val="24"/>
        </w:rPr>
      </w:pPr>
      <w:r w:rsidRPr="000052C3">
        <w:rPr>
          <w:rFonts w:ascii="Century Gothic" w:eastAsia="Calibri" w:hAnsi="Century Gothic" w:cs="Times New Roman"/>
          <w:color w:val="000000"/>
          <w:sz w:val="24"/>
        </w:rPr>
        <w:t xml:space="preserve">PROJETO de LEI Nº. </w:t>
      </w:r>
      <w:r>
        <w:rPr>
          <w:rFonts w:ascii="Century Gothic" w:eastAsia="Calibri" w:hAnsi="Century Gothic" w:cs="Times New Roman"/>
          <w:color w:val="000000"/>
          <w:sz w:val="24"/>
        </w:rPr>
        <w:t>041</w:t>
      </w:r>
      <w:r w:rsidRPr="000052C3">
        <w:rPr>
          <w:rFonts w:ascii="Century Gothic" w:eastAsia="Calibri" w:hAnsi="Century Gothic" w:cs="Times New Roman"/>
          <w:b/>
          <w:color w:val="000000"/>
          <w:sz w:val="24"/>
        </w:rPr>
        <w:t>/2020</w:t>
      </w:r>
      <w:r w:rsidRPr="000052C3">
        <w:rPr>
          <w:rFonts w:ascii="Century Gothic" w:eastAsia="Calibri" w:hAnsi="Century Gothic" w:cs="Times New Roman"/>
          <w:color w:val="000000"/>
          <w:sz w:val="24"/>
        </w:rPr>
        <w:t xml:space="preserve">, </w:t>
      </w:r>
      <w:proofErr w:type="gramStart"/>
      <w:r w:rsidRPr="000052C3">
        <w:rPr>
          <w:rFonts w:ascii="Century Gothic" w:eastAsia="Calibri" w:hAnsi="Century Gothic" w:cs="Times New Roman"/>
          <w:color w:val="000000"/>
          <w:sz w:val="24"/>
        </w:rPr>
        <w:t xml:space="preserve">de  </w:t>
      </w:r>
      <w:r>
        <w:rPr>
          <w:rFonts w:ascii="Century Gothic" w:eastAsia="Calibri" w:hAnsi="Century Gothic" w:cs="Times New Roman"/>
          <w:color w:val="000000"/>
          <w:sz w:val="24"/>
        </w:rPr>
        <w:t>2</w:t>
      </w:r>
      <w:proofErr w:type="gramEnd"/>
      <w:r w:rsidRPr="000052C3">
        <w:rPr>
          <w:rFonts w:ascii="Century Gothic" w:eastAsia="Calibri" w:hAnsi="Century Gothic" w:cs="Times New Roman"/>
          <w:color w:val="000000"/>
          <w:sz w:val="24"/>
        </w:rPr>
        <w:t xml:space="preserve">  de  </w:t>
      </w:r>
      <w:r>
        <w:rPr>
          <w:rFonts w:ascii="Century Gothic" w:eastAsia="Calibri" w:hAnsi="Century Gothic" w:cs="Times New Roman"/>
          <w:color w:val="000000"/>
          <w:sz w:val="24"/>
        </w:rPr>
        <w:t>julh</w:t>
      </w:r>
      <w:r w:rsidRPr="000052C3">
        <w:rPr>
          <w:rFonts w:ascii="Century Gothic" w:eastAsia="Calibri" w:hAnsi="Century Gothic" w:cs="Times New Roman"/>
          <w:color w:val="000000"/>
          <w:sz w:val="24"/>
        </w:rPr>
        <w:t>o  de  2020.</w:t>
      </w:r>
    </w:p>
    <w:p w14:paraId="56D5E0D1" w14:textId="77777777" w:rsidR="000052C3" w:rsidRPr="000052C3" w:rsidRDefault="000052C3" w:rsidP="000052C3">
      <w:pPr>
        <w:spacing w:after="200" w:line="240" w:lineRule="auto"/>
        <w:ind w:left="2520"/>
        <w:jc w:val="both"/>
        <w:rPr>
          <w:rFonts w:ascii="Century Gothic" w:eastAsia="Calibri" w:hAnsi="Century Gothic" w:cs="Times New Roman"/>
          <w:color w:val="000000"/>
          <w:sz w:val="24"/>
        </w:rPr>
      </w:pPr>
    </w:p>
    <w:p w14:paraId="661E944E" w14:textId="77777777" w:rsidR="000052C3" w:rsidRPr="000052C3" w:rsidRDefault="000052C3" w:rsidP="000052C3">
      <w:pPr>
        <w:spacing w:after="200" w:line="240" w:lineRule="auto"/>
        <w:ind w:left="2520"/>
        <w:jc w:val="both"/>
        <w:rPr>
          <w:rFonts w:ascii="Century Gothic" w:eastAsia="Calibri" w:hAnsi="Century Gothic" w:cs="Times New Roman"/>
          <w:color w:val="000000"/>
          <w:sz w:val="24"/>
        </w:rPr>
      </w:pPr>
      <w:r w:rsidRPr="000052C3">
        <w:rPr>
          <w:rFonts w:ascii="Century Gothic" w:eastAsia="Calibri" w:hAnsi="Century Gothic" w:cs="Times New Roman"/>
          <w:color w:val="000000"/>
          <w:sz w:val="24"/>
        </w:rPr>
        <w:t xml:space="preserve">EMENTA: </w:t>
      </w:r>
      <w:proofErr w:type="gramStart"/>
      <w:r w:rsidRPr="000052C3">
        <w:rPr>
          <w:rFonts w:ascii="Century Gothic" w:eastAsia="Calibri" w:hAnsi="Century Gothic" w:cs="Times New Roman"/>
          <w:color w:val="000000"/>
          <w:sz w:val="24"/>
        </w:rPr>
        <w:t>Propõe  concessão</w:t>
      </w:r>
      <w:proofErr w:type="gramEnd"/>
      <w:r w:rsidRPr="000052C3">
        <w:rPr>
          <w:rFonts w:ascii="Century Gothic" w:eastAsia="Calibri" w:hAnsi="Century Gothic" w:cs="Times New Roman"/>
          <w:color w:val="000000"/>
          <w:sz w:val="24"/>
        </w:rPr>
        <w:t xml:space="preserve">  de  TÍTULO  DE  </w:t>
      </w:r>
      <w:r w:rsidRPr="000052C3">
        <w:rPr>
          <w:rFonts w:ascii="Century Gothic" w:eastAsia="Calibri" w:hAnsi="Century Gothic" w:cs="Times New Roman"/>
          <w:b/>
          <w:color w:val="000000"/>
          <w:sz w:val="24"/>
        </w:rPr>
        <w:t>CIDADANIA  UBAJARENSE</w:t>
      </w:r>
      <w:r w:rsidRPr="000052C3">
        <w:rPr>
          <w:rFonts w:ascii="Century Gothic" w:eastAsia="Calibri" w:hAnsi="Century Gothic" w:cs="Times New Roman"/>
          <w:color w:val="000000"/>
          <w:sz w:val="24"/>
        </w:rPr>
        <w:t xml:space="preserve">   a  quem  indica</w:t>
      </w:r>
      <w:r w:rsidRPr="000052C3">
        <w:rPr>
          <w:rFonts w:ascii="Century Gothic" w:eastAsia="Calibri" w:hAnsi="Century Gothic" w:cs="Times New Roman"/>
          <w:b/>
          <w:color w:val="000000"/>
          <w:sz w:val="24"/>
        </w:rPr>
        <w:t xml:space="preserve">  </w:t>
      </w:r>
      <w:r w:rsidRPr="000052C3">
        <w:rPr>
          <w:rFonts w:ascii="Century Gothic" w:eastAsia="Calibri" w:hAnsi="Century Gothic" w:cs="Times New Roman"/>
          <w:color w:val="000000"/>
          <w:sz w:val="24"/>
        </w:rPr>
        <w:t>e  dá  outras  providências.</w:t>
      </w:r>
    </w:p>
    <w:p w14:paraId="3E2C6122" w14:textId="77777777" w:rsidR="000052C3" w:rsidRPr="000052C3" w:rsidRDefault="000052C3" w:rsidP="000052C3">
      <w:pPr>
        <w:spacing w:after="200" w:line="276" w:lineRule="auto"/>
        <w:jc w:val="both"/>
        <w:rPr>
          <w:rFonts w:ascii="Century Gothic" w:eastAsia="Calibri" w:hAnsi="Century Gothic" w:cs="Times New Roman"/>
          <w:color w:val="000000"/>
          <w:sz w:val="24"/>
        </w:rPr>
      </w:pPr>
      <w:r w:rsidRPr="000052C3">
        <w:rPr>
          <w:rFonts w:ascii="Century Gothic" w:eastAsia="Calibri" w:hAnsi="Century Gothic" w:cs="Times New Roman"/>
          <w:color w:val="000000"/>
          <w:sz w:val="24"/>
        </w:rPr>
        <w:t xml:space="preserve">                           </w:t>
      </w:r>
    </w:p>
    <w:p w14:paraId="4797254D" w14:textId="2A597E40" w:rsidR="000052C3" w:rsidRPr="000052C3" w:rsidRDefault="000052C3" w:rsidP="000052C3">
      <w:pPr>
        <w:spacing w:after="200" w:line="276" w:lineRule="auto"/>
        <w:jc w:val="both"/>
        <w:rPr>
          <w:rFonts w:ascii="Century Gothic" w:eastAsia="Calibri" w:hAnsi="Century Gothic" w:cs="Times New Roman"/>
          <w:b/>
          <w:bCs/>
          <w:color w:val="000000"/>
          <w:sz w:val="32"/>
          <w:szCs w:val="28"/>
        </w:rPr>
      </w:pPr>
      <w:r w:rsidRPr="000052C3">
        <w:rPr>
          <w:rFonts w:ascii="Century Gothic" w:eastAsia="Calibri" w:hAnsi="Century Gothic" w:cs="Times New Roman"/>
          <w:color w:val="000000"/>
          <w:sz w:val="24"/>
        </w:rPr>
        <w:t xml:space="preserve">                 AGRACIADO: </w:t>
      </w:r>
      <w:r w:rsidRPr="000052C3">
        <w:rPr>
          <w:b/>
          <w:bCs/>
          <w:sz w:val="28"/>
          <w:szCs w:val="28"/>
        </w:rPr>
        <w:t>LUCIDIO FRANCISCO XAVIER</w:t>
      </w:r>
    </w:p>
    <w:p w14:paraId="0C7ECD8C" w14:textId="77777777" w:rsidR="000052C3" w:rsidRPr="000052C3" w:rsidRDefault="000052C3" w:rsidP="000052C3">
      <w:pPr>
        <w:spacing w:after="200" w:line="276" w:lineRule="auto"/>
        <w:jc w:val="both"/>
        <w:rPr>
          <w:rFonts w:ascii="Century Gothic" w:eastAsia="Calibri" w:hAnsi="Century Gothic" w:cs="Times New Roman"/>
          <w:color w:val="000000"/>
          <w:sz w:val="20"/>
          <w:szCs w:val="20"/>
        </w:rPr>
      </w:pPr>
      <w:r w:rsidRPr="000052C3">
        <w:rPr>
          <w:rFonts w:ascii="Century Gothic" w:eastAsia="Calibri" w:hAnsi="Century Gothic" w:cs="Times New Roman"/>
          <w:b/>
          <w:color w:val="000000"/>
          <w:sz w:val="24"/>
        </w:rPr>
        <w:t xml:space="preserve">                                       </w:t>
      </w:r>
      <w:r w:rsidRPr="000052C3">
        <w:rPr>
          <w:rFonts w:ascii="Century Gothic" w:eastAsia="Calibri" w:hAnsi="Century Gothic" w:cs="Times New Roman"/>
          <w:color w:val="000000"/>
          <w:sz w:val="24"/>
        </w:rPr>
        <w:t xml:space="preserve">                                                                      </w:t>
      </w:r>
    </w:p>
    <w:p w14:paraId="77A02DC7" w14:textId="77777777" w:rsidR="000052C3" w:rsidRPr="000052C3" w:rsidRDefault="000052C3" w:rsidP="000052C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0052C3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O </w:t>
      </w:r>
      <w:proofErr w:type="gramStart"/>
      <w:r w:rsidRPr="000052C3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Vereador  abaixo</w:t>
      </w:r>
      <w:proofErr w:type="gramEnd"/>
      <w:r w:rsidRPr="000052C3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assinado, no uso das atribuições legais que lhe  são  conferidas  pelo Regimento Interno da Câmara Municipal,  propõe  o  seguinte:</w:t>
      </w:r>
    </w:p>
    <w:p w14:paraId="570914CA" w14:textId="77777777" w:rsidR="000052C3" w:rsidRPr="000052C3" w:rsidRDefault="000052C3" w:rsidP="000052C3">
      <w:pPr>
        <w:spacing w:after="200" w:line="360" w:lineRule="auto"/>
        <w:jc w:val="center"/>
        <w:rPr>
          <w:rFonts w:ascii="Century Gothic" w:eastAsia="Calibri" w:hAnsi="Century Gothic" w:cs="Times New Roman"/>
          <w:b/>
          <w:color w:val="000000"/>
          <w:sz w:val="12"/>
        </w:rPr>
      </w:pPr>
    </w:p>
    <w:p w14:paraId="126F7FFF" w14:textId="77777777" w:rsidR="000052C3" w:rsidRPr="000052C3" w:rsidRDefault="000052C3" w:rsidP="000052C3">
      <w:pPr>
        <w:spacing w:after="200" w:line="360" w:lineRule="auto"/>
        <w:jc w:val="center"/>
        <w:rPr>
          <w:rFonts w:ascii="Century Gothic" w:eastAsia="Calibri" w:hAnsi="Century Gothic" w:cs="Times New Roman"/>
          <w:color w:val="000000"/>
          <w:sz w:val="24"/>
        </w:rPr>
      </w:pPr>
      <w:r w:rsidRPr="000052C3">
        <w:rPr>
          <w:rFonts w:ascii="Century Gothic" w:eastAsia="Calibri" w:hAnsi="Century Gothic" w:cs="Times New Roman"/>
          <w:b/>
          <w:color w:val="000000"/>
          <w:sz w:val="24"/>
        </w:rPr>
        <w:t>PROJETO DE LEI</w:t>
      </w:r>
      <w:r w:rsidRPr="000052C3">
        <w:rPr>
          <w:rFonts w:ascii="Century Gothic" w:eastAsia="Calibri" w:hAnsi="Century Gothic" w:cs="Times New Roman"/>
          <w:color w:val="000000"/>
          <w:sz w:val="24"/>
        </w:rPr>
        <w:t>:</w:t>
      </w:r>
    </w:p>
    <w:p w14:paraId="19B05FA5" w14:textId="5931CB2A" w:rsidR="000052C3" w:rsidRPr="000052C3" w:rsidRDefault="000052C3" w:rsidP="000052C3">
      <w:pPr>
        <w:spacing w:after="200" w:line="276" w:lineRule="auto"/>
        <w:jc w:val="both"/>
        <w:rPr>
          <w:rFonts w:ascii="Century Gothic" w:eastAsia="Calibri" w:hAnsi="Century Gothic" w:cs="Times New Roman"/>
          <w:b/>
          <w:color w:val="000000"/>
          <w:sz w:val="8"/>
          <w:szCs w:val="6"/>
        </w:rPr>
      </w:pPr>
      <w:r w:rsidRPr="000052C3">
        <w:rPr>
          <w:rFonts w:ascii="Century Gothic" w:eastAsia="Calibri" w:hAnsi="Century Gothic" w:cs="Times New Roman"/>
          <w:color w:val="000000"/>
          <w:sz w:val="24"/>
          <w:szCs w:val="24"/>
        </w:rPr>
        <w:t xml:space="preserve">Art. 1º.  - Fica   </w:t>
      </w:r>
      <w:proofErr w:type="gramStart"/>
      <w:r w:rsidRPr="000052C3">
        <w:rPr>
          <w:rFonts w:ascii="Century Gothic" w:eastAsia="Calibri" w:hAnsi="Century Gothic" w:cs="Times New Roman"/>
          <w:color w:val="000000"/>
          <w:sz w:val="24"/>
          <w:szCs w:val="24"/>
        </w:rPr>
        <w:t>CONCEDIDO  o</w:t>
      </w:r>
      <w:proofErr w:type="gramEnd"/>
      <w:r w:rsidRPr="000052C3">
        <w:rPr>
          <w:rFonts w:ascii="Century Gothic" w:eastAsia="Calibri" w:hAnsi="Century Gothic" w:cs="Times New Roman"/>
          <w:color w:val="000000"/>
          <w:sz w:val="24"/>
          <w:szCs w:val="24"/>
        </w:rPr>
        <w:t xml:space="preserve">  título  de  </w:t>
      </w:r>
      <w:r w:rsidRPr="000052C3">
        <w:rPr>
          <w:rFonts w:ascii="Century Gothic" w:eastAsia="Calibri" w:hAnsi="Century Gothic" w:cs="Times New Roman"/>
          <w:b/>
          <w:color w:val="000000"/>
          <w:sz w:val="24"/>
          <w:szCs w:val="24"/>
          <w:u w:val="single"/>
        </w:rPr>
        <w:t>CIDADANIA  UBAJARENSE</w:t>
      </w:r>
      <w:r w:rsidRPr="000052C3">
        <w:rPr>
          <w:rFonts w:ascii="Century Gothic" w:eastAsia="Calibri" w:hAnsi="Century Gothic" w:cs="Times New Roman"/>
          <w:color w:val="000000"/>
          <w:sz w:val="24"/>
          <w:szCs w:val="24"/>
        </w:rPr>
        <w:t xml:space="preserve">   ao </w:t>
      </w:r>
      <w:r>
        <w:rPr>
          <w:rFonts w:ascii="Century Gothic" w:eastAsia="Calibri" w:hAnsi="Century Gothic" w:cs="Times New Roman"/>
          <w:color w:val="000000"/>
          <w:sz w:val="24"/>
          <w:szCs w:val="24"/>
        </w:rPr>
        <w:t>senhor médico</w:t>
      </w:r>
      <w:r w:rsidRPr="000052C3">
        <w:rPr>
          <w:rFonts w:ascii="Century Gothic" w:eastAsia="Calibri" w:hAnsi="Century Gothic" w:cs="Times New Roman"/>
          <w:color w:val="000000"/>
          <w:sz w:val="24"/>
          <w:szCs w:val="24"/>
        </w:rPr>
        <w:t xml:space="preserve"> </w:t>
      </w:r>
      <w:r w:rsidRPr="000052C3">
        <w:rPr>
          <w:b/>
          <w:bCs/>
          <w:sz w:val="28"/>
          <w:szCs w:val="28"/>
        </w:rPr>
        <w:t>LUCIDIO FRANCISCO XAVIER</w:t>
      </w:r>
      <w:r>
        <w:rPr>
          <w:b/>
          <w:bCs/>
          <w:sz w:val="28"/>
          <w:szCs w:val="28"/>
        </w:rPr>
        <w:t xml:space="preserve">.  </w:t>
      </w:r>
    </w:p>
    <w:p w14:paraId="1E520194" w14:textId="3252B6CA" w:rsidR="000052C3" w:rsidRPr="000052C3" w:rsidRDefault="000052C3" w:rsidP="000052C3">
      <w:pPr>
        <w:spacing w:after="200" w:line="360" w:lineRule="auto"/>
        <w:jc w:val="both"/>
        <w:rPr>
          <w:rFonts w:ascii="Century Gothic" w:eastAsia="Calibri" w:hAnsi="Century Gothic" w:cs="Times New Roman"/>
          <w:color w:val="000000"/>
          <w:sz w:val="24"/>
          <w:szCs w:val="24"/>
        </w:rPr>
      </w:pPr>
      <w:r w:rsidRPr="000052C3">
        <w:rPr>
          <w:rFonts w:ascii="Century Gothic" w:eastAsia="Calibri" w:hAnsi="Century Gothic" w:cs="Times New Roman"/>
          <w:color w:val="000000"/>
          <w:sz w:val="24"/>
          <w:szCs w:val="24"/>
        </w:rPr>
        <w:t xml:space="preserve">Art. 2º.  -  </w:t>
      </w:r>
      <w:proofErr w:type="gramStart"/>
      <w:r w:rsidRPr="000052C3">
        <w:rPr>
          <w:rFonts w:ascii="Century Gothic" w:eastAsia="Calibri" w:hAnsi="Century Gothic" w:cs="Times New Roman"/>
          <w:color w:val="000000"/>
          <w:sz w:val="24"/>
          <w:szCs w:val="24"/>
        </w:rPr>
        <w:t>A  concessão</w:t>
      </w:r>
      <w:proofErr w:type="gramEnd"/>
      <w:r w:rsidRPr="000052C3">
        <w:rPr>
          <w:rFonts w:ascii="Century Gothic" w:eastAsia="Calibri" w:hAnsi="Century Gothic" w:cs="Times New Roman"/>
          <w:color w:val="000000"/>
          <w:sz w:val="24"/>
          <w:szCs w:val="24"/>
        </w:rPr>
        <w:t xml:space="preserve">  do  título  a  que  se  refere  o  artigo  PRIMEIRO  desta  Lei  justifica – se  pelos  relevantes  serviços  que  prestou  o  homenageado  à  comunidade  ubajarense,  </w:t>
      </w:r>
      <w:r>
        <w:rPr>
          <w:rFonts w:ascii="Century Gothic" w:eastAsia="Calibri" w:hAnsi="Century Gothic" w:cs="Times New Roman"/>
          <w:color w:val="000000"/>
          <w:sz w:val="24"/>
          <w:szCs w:val="24"/>
        </w:rPr>
        <w:t>notadamente  no  atendimento  à  saúde  de  nossa  população.</w:t>
      </w:r>
      <w:r w:rsidRPr="000052C3">
        <w:rPr>
          <w:rFonts w:ascii="Century Gothic" w:eastAsia="Calibri" w:hAnsi="Century Gothic" w:cs="Times New Roman"/>
          <w:color w:val="000000"/>
          <w:sz w:val="24"/>
          <w:szCs w:val="24"/>
        </w:rPr>
        <w:t xml:space="preserve">   </w:t>
      </w:r>
    </w:p>
    <w:p w14:paraId="4B134CED" w14:textId="77777777" w:rsidR="000052C3" w:rsidRPr="000052C3" w:rsidRDefault="000052C3" w:rsidP="000052C3">
      <w:pPr>
        <w:spacing w:after="200" w:line="360" w:lineRule="auto"/>
        <w:jc w:val="both"/>
        <w:rPr>
          <w:rFonts w:ascii="Century Gothic" w:eastAsia="Calibri" w:hAnsi="Century Gothic" w:cs="Times New Roman"/>
          <w:color w:val="000000"/>
          <w:sz w:val="24"/>
          <w:szCs w:val="24"/>
        </w:rPr>
      </w:pPr>
      <w:r w:rsidRPr="000052C3">
        <w:rPr>
          <w:rFonts w:ascii="Century Gothic" w:eastAsia="Calibri" w:hAnsi="Century Gothic" w:cs="Times New Roman"/>
          <w:color w:val="000000"/>
          <w:sz w:val="24"/>
          <w:szCs w:val="24"/>
        </w:rPr>
        <w:t>Art. 3º. - Esta Lei entrará em vigor na data de sua publicação, revogadas as disposições em contrário.</w:t>
      </w:r>
    </w:p>
    <w:p w14:paraId="3E7B08D9" w14:textId="77777777" w:rsidR="000052C3" w:rsidRPr="000052C3" w:rsidRDefault="000052C3" w:rsidP="000052C3">
      <w:pPr>
        <w:spacing w:after="200" w:line="360" w:lineRule="auto"/>
        <w:jc w:val="both"/>
        <w:rPr>
          <w:rFonts w:ascii="Century Gothic" w:eastAsia="Calibri" w:hAnsi="Century Gothic" w:cs="Times New Roman"/>
          <w:color w:val="000000"/>
          <w:sz w:val="12"/>
          <w:szCs w:val="24"/>
        </w:rPr>
      </w:pPr>
    </w:p>
    <w:p w14:paraId="110F4420" w14:textId="2DE06727" w:rsidR="000052C3" w:rsidRPr="000052C3" w:rsidRDefault="000052C3" w:rsidP="000052C3">
      <w:pPr>
        <w:spacing w:after="200" w:line="360" w:lineRule="auto"/>
        <w:jc w:val="both"/>
        <w:rPr>
          <w:rFonts w:ascii="Century Gothic" w:eastAsia="Calibri" w:hAnsi="Century Gothic" w:cs="Times New Roman"/>
          <w:color w:val="000000"/>
          <w:sz w:val="20"/>
          <w:szCs w:val="18"/>
        </w:rPr>
      </w:pPr>
      <w:proofErr w:type="gramStart"/>
      <w:r w:rsidRPr="000052C3">
        <w:rPr>
          <w:rFonts w:ascii="Century Gothic" w:eastAsia="Calibri" w:hAnsi="Century Gothic" w:cs="Times New Roman"/>
          <w:color w:val="000000"/>
          <w:sz w:val="20"/>
          <w:szCs w:val="20"/>
        </w:rPr>
        <w:t>Sala  da</w:t>
      </w:r>
      <w:proofErr w:type="gramEnd"/>
      <w:r w:rsidRPr="000052C3">
        <w:rPr>
          <w:rFonts w:ascii="Century Gothic" w:eastAsia="Calibri" w:hAnsi="Century Gothic" w:cs="Times New Roman"/>
          <w:color w:val="000000"/>
          <w:sz w:val="20"/>
          <w:szCs w:val="20"/>
        </w:rPr>
        <w:t xml:space="preserve">  </w:t>
      </w:r>
      <w:r w:rsidRPr="000052C3">
        <w:rPr>
          <w:rFonts w:ascii="Century Gothic" w:eastAsia="Calibri" w:hAnsi="Century Gothic" w:cs="Times New Roman"/>
          <w:color w:val="000000"/>
          <w:sz w:val="20"/>
          <w:szCs w:val="20"/>
        </w:rPr>
        <w:t>Secretaria  Legislativa  da  CMU</w:t>
      </w:r>
      <w:r w:rsidRPr="000052C3">
        <w:rPr>
          <w:rFonts w:ascii="Century Gothic" w:eastAsia="Calibri" w:hAnsi="Century Gothic" w:cs="Times New Roman"/>
          <w:color w:val="000000"/>
          <w:sz w:val="20"/>
          <w:szCs w:val="20"/>
        </w:rPr>
        <w:t xml:space="preserve">,  aos  </w:t>
      </w:r>
      <w:r w:rsidRPr="000052C3">
        <w:rPr>
          <w:rFonts w:ascii="Century Gothic" w:eastAsia="Calibri" w:hAnsi="Century Gothic" w:cs="Times New Roman"/>
          <w:color w:val="000000"/>
          <w:sz w:val="20"/>
          <w:szCs w:val="20"/>
        </w:rPr>
        <w:t>2</w:t>
      </w:r>
      <w:r w:rsidRPr="000052C3">
        <w:rPr>
          <w:rFonts w:ascii="Century Gothic" w:eastAsia="Calibri" w:hAnsi="Century Gothic" w:cs="Times New Roman"/>
          <w:color w:val="000000"/>
          <w:sz w:val="20"/>
          <w:szCs w:val="20"/>
        </w:rPr>
        <w:t xml:space="preserve">  de </w:t>
      </w:r>
      <w:r w:rsidRPr="000052C3">
        <w:rPr>
          <w:rFonts w:ascii="Century Gothic" w:eastAsia="Calibri" w:hAnsi="Century Gothic" w:cs="Times New Roman"/>
          <w:color w:val="000000"/>
          <w:sz w:val="20"/>
          <w:szCs w:val="20"/>
        </w:rPr>
        <w:t>julh</w:t>
      </w:r>
      <w:r w:rsidRPr="000052C3">
        <w:rPr>
          <w:rFonts w:ascii="Century Gothic" w:eastAsia="Calibri" w:hAnsi="Century Gothic" w:cs="Times New Roman"/>
          <w:color w:val="000000"/>
          <w:sz w:val="20"/>
          <w:szCs w:val="20"/>
        </w:rPr>
        <w:t>o  de  2020.</w:t>
      </w:r>
    </w:p>
    <w:p w14:paraId="11B54A8E" w14:textId="77777777" w:rsidR="000052C3" w:rsidRPr="000052C3" w:rsidRDefault="000052C3" w:rsidP="000052C3">
      <w:pPr>
        <w:spacing w:after="200" w:line="360" w:lineRule="auto"/>
        <w:jc w:val="both"/>
        <w:rPr>
          <w:rFonts w:ascii="Century Gothic" w:eastAsia="Calibri" w:hAnsi="Century Gothic" w:cs="Times New Roman"/>
          <w:b/>
          <w:color w:val="000000"/>
          <w:sz w:val="32"/>
        </w:rPr>
      </w:pPr>
    </w:p>
    <w:p w14:paraId="72F9F5A3" w14:textId="1610305A" w:rsidR="000052C3" w:rsidRPr="000052C3" w:rsidRDefault="000052C3" w:rsidP="000052C3">
      <w:pPr>
        <w:spacing w:after="200" w:line="276" w:lineRule="auto"/>
        <w:jc w:val="center"/>
        <w:rPr>
          <w:rFonts w:ascii="Century Gothic" w:eastAsia="Calibri" w:hAnsi="Century Gothic" w:cs="Times New Roman"/>
          <w:b/>
          <w:color w:val="000000"/>
          <w:sz w:val="24"/>
        </w:rPr>
      </w:pPr>
      <w:proofErr w:type="gramStart"/>
      <w:r>
        <w:rPr>
          <w:rFonts w:ascii="Century Gothic" w:eastAsia="Calibri" w:hAnsi="Century Gothic" w:cs="Times New Roman"/>
          <w:b/>
          <w:color w:val="000000"/>
          <w:sz w:val="24"/>
        </w:rPr>
        <w:t>CLÁUDIO  CARVALHO</w:t>
      </w:r>
      <w:proofErr w:type="gramEnd"/>
      <w:r>
        <w:rPr>
          <w:rFonts w:ascii="Century Gothic" w:eastAsia="Calibri" w:hAnsi="Century Gothic" w:cs="Times New Roman"/>
          <w:b/>
          <w:color w:val="000000"/>
          <w:sz w:val="24"/>
        </w:rPr>
        <w:t xml:space="preserve">  DE  MESQUITA</w:t>
      </w:r>
      <w:r w:rsidRPr="000052C3">
        <w:rPr>
          <w:rFonts w:ascii="Century Gothic" w:eastAsia="Calibri" w:hAnsi="Century Gothic" w:cs="Times New Roman"/>
          <w:b/>
          <w:color w:val="000000"/>
          <w:sz w:val="24"/>
        </w:rPr>
        <w:t>,</w:t>
      </w:r>
    </w:p>
    <w:p w14:paraId="13FB904B" w14:textId="7A515610" w:rsidR="00F70E25" w:rsidRDefault="000052C3" w:rsidP="000052C3">
      <w:pPr>
        <w:jc w:val="center"/>
      </w:pPr>
      <w:r w:rsidRPr="000052C3">
        <w:rPr>
          <w:rFonts w:ascii="Century Gothic" w:eastAsia="Calibri" w:hAnsi="Century Gothic" w:cs="Times New Roman"/>
          <w:b/>
          <w:color w:val="000000"/>
          <w:sz w:val="24"/>
        </w:rPr>
        <w:t>vereador.</w:t>
      </w:r>
    </w:p>
    <w:p w14:paraId="5CA1D01B" w14:textId="77777777" w:rsidR="00F70E25" w:rsidRDefault="00F70E25" w:rsidP="00F70E25"/>
    <w:p w14:paraId="533D0D27" w14:textId="34DB503C" w:rsidR="00F70E25" w:rsidRDefault="00F70E25" w:rsidP="00F70E25">
      <w:r>
        <w:t xml:space="preserve">BIOGRAFIA </w:t>
      </w:r>
    </w:p>
    <w:p w14:paraId="682E7412" w14:textId="77777777" w:rsidR="00F70E25" w:rsidRDefault="00F70E25" w:rsidP="00F70E25"/>
    <w:p w14:paraId="5927CDC0" w14:textId="77777777" w:rsidR="00F70E25" w:rsidRDefault="00F70E25" w:rsidP="00F70E25">
      <w:pPr>
        <w:jc w:val="both"/>
      </w:pPr>
      <w:r>
        <w:t xml:space="preserve">De família do interior do Piauí, </w:t>
      </w:r>
      <w:proofErr w:type="spellStart"/>
      <w:r>
        <w:t>Lucidio</w:t>
      </w:r>
      <w:proofErr w:type="spellEnd"/>
      <w:r>
        <w:t xml:space="preserve"> Francisco Xavier teve uma infância difícil, mas ao mesmo tempo cheia de amor. Morava com seus pais e seus 4 irmãos em uma casinha simples, onde nem energia elétrica havia. Desde novo, muito bem educado por seus pais – sua mãe trabalhava em casa e cuidava dos filhos e seu pai era carpinteiro – e desde cedo, descobriu o amor pelos estudos. Sempre estudou em escola pública e foi aluno destaque. Com muita superação de preconceitos, conseguiu entrar na faculdade, passando em Engenharia Civil no primeiro vestibular que fez e logo em seguida, em terceiro lugar em Medicina na Universidade Federal do Piauí. </w:t>
      </w:r>
    </w:p>
    <w:p w14:paraId="670D1836" w14:textId="77777777" w:rsidR="00F70E25" w:rsidRDefault="00F70E25" w:rsidP="00F70E25">
      <w:pPr>
        <w:jc w:val="both"/>
      </w:pPr>
      <w:r>
        <w:t xml:space="preserve">Na faculdade, além dos preconceitos que tinha que enfrentar, tinha também que trabalhar para poder ir e voltar da faculdade. Foi professor durante toda sua graduação. </w:t>
      </w:r>
    </w:p>
    <w:p w14:paraId="7C66CB2C" w14:textId="77777777" w:rsidR="00F70E25" w:rsidRDefault="00F70E25" w:rsidP="00F70E25">
      <w:pPr>
        <w:jc w:val="both"/>
      </w:pPr>
      <w:r>
        <w:t xml:space="preserve">Ainda na faculdade, conheceu sua futura esposa, Ana Lúcia, que se tornou uma parceira em tudo! </w:t>
      </w:r>
    </w:p>
    <w:p w14:paraId="0E8D44FC" w14:textId="77777777" w:rsidR="00F70E25" w:rsidRDefault="00F70E25" w:rsidP="00F70E25">
      <w:pPr>
        <w:jc w:val="both"/>
      </w:pPr>
      <w:r>
        <w:t xml:space="preserve">Pouco tempo depois de formado, </w:t>
      </w:r>
      <w:proofErr w:type="spellStart"/>
      <w:r>
        <w:t>Lucidio</w:t>
      </w:r>
      <w:proofErr w:type="spellEnd"/>
      <w:r>
        <w:t xml:space="preserve"> veio com sua esposa e sua primogênita para a Serra da Ibiapaba, onde fixou residência em São Benedito e teve mais dois filhos. </w:t>
      </w:r>
    </w:p>
    <w:p w14:paraId="5C9C1D89" w14:textId="77777777" w:rsidR="00F70E25" w:rsidRDefault="00F70E25" w:rsidP="00F70E25">
      <w:pPr>
        <w:jc w:val="both"/>
      </w:pPr>
      <w:r>
        <w:t xml:space="preserve">Apesar disso, trabalhava em toda serra, numa rotina puxada, de cidade em cidade. Atuou como plantonista, diretor de hospitais, e em seu consultório particular. Cirurgião, clínico geral, </w:t>
      </w:r>
      <w:proofErr w:type="spellStart"/>
      <w:r>
        <w:t>ultrassonografista</w:t>
      </w:r>
      <w:proofErr w:type="spellEnd"/>
      <w:r>
        <w:t xml:space="preserve"> e ginecologista obstetra. </w:t>
      </w:r>
    </w:p>
    <w:p w14:paraId="39115659" w14:textId="6C25EE21" w:rsidR="00934BF3" w:rsidRDefault="00F70E25" w:rsidP="00F70E25">
      <w:pPr>
        <w:jc w:val="both"/>
      </w:pPr>
      <w:r>
        <w:t xml:space="preserve">Na Serra, se firmou como o excelente profissional que é, atendendo a população de maneira atenciosa e eficiente, aclamado por diversas pessoas, </w:t>
      </w:r>
      <w:proofErr w:type="spellStart"/>
      <w:r>
        <w:t>Dr</w:t>
      </w:r>
      <w:proofErr w:type="spellEnd"/>
      <w:r>
        <w:t xml:space="preserve"> </w:t>
      </w:r>
      <w:proofErr w:type="spellStart"/>
      <w:r>
        <w:t>Lucidio</w:t>
      </w:r>
      <w:proofErr w:type="spellEnd"/>
      <w:r>
        <w:t xml:space="preserve"> é chamado de Santo por alguns e tem até missas rezadas em seu nome</w:t>
      </w:r>
    </w:p>
    <w:sectPr w:rsidR="00934BF3" w:rsidSect="000052C3">
      <w:pgSz w:w="9978" w:h="14173" w:code="34"/>
      <w:pgMar w:top="1418" w:right="104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25"/>
    <w:rsid w:val="000052C3"/>
    <w:rsid w:val="00022A91"/>
    <w:rsid w:val="00121055"/>
    <w:rsid w:val="00934BF3"/>
    <w:rsid w:val="00B9479B"/>
    <w:rsid w:val="00DB6987"/>
    <w:rsid w:val="00F7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7CA1"/>
  <w15:chartTrackingRefBased/>
  <w15:docId w15:val="{F8CF9BE3-0EEE-460A-9EF7-09A19078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2020-07-03T11:31:00Z</cp:lastPrinted>
  <dcterms:created xsi:type="dcterms:W3CDTF">2020-07-03T11:29:00Z</dcterms:created>
  <dcterms:modified xsi:type="dcterms:W3CDTF">2020-07-03T11:39:00Z</dcterms:modified>
</cp:coreProperties>
</file>